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69" w:rsidRDefault="00855369">
      <w:pPr>
        <w:rPr>
          <w:u w:val="single"/>
        </w:rPr>
      </w:pPr>
      <w:r>
        <w:t>Chemistry 141</w:t>
      </w:r>
      <w:r>
        <w:tab/>
      </w:r>
      <w:r>
        <w:tab/>
      </w:r>
      <w:r>
        <w:tab/>
      </w:r>
      <w:r>
        <w:tab/>
      </w:r>
      <w:r>
        <w:tab/>
      </w:r>
      <w:r>
        <w:tab/>
        <w:t>Name</w:t>
      </w:r>
      <w:r>
        <w:rPr>
          <w:u w:val="single"/>
        </w:rPr>
        <w:tab/>
      </w:r>
      <w:r>
        <w:rPr>
          <w:u w:val="single"/>
        </w:rPr>
        <w:tab/>
      </w:r>
      <w:r>
        <w:rPr>
          <w:u w:val="single"/>
        </w:rPr>
        <w:tab/>
      </w:r>
      <w:r>
        <w:rPr>
          <w:u w:val="single"/>
        </w:rPr>
        <w:tab/>
      </w:r>
      <w:r>
        <w:rPr>
          <w:u w:val="single"/>
        </w:rPr>
        <w:tab/>
      </w:r>
      <w:r>
        <w:rPr>
          <w:u w:val="single"/>
        </w:rPr>
        <w:tab/>
      </w:r>
    </w:p>
    <w:p w:rsidR="00855369" w:rsidRDefault="00855369">
      <w:r>
        <w:t xml:space="preserve">Dr. </w:t>
      </w:r>
      <w:smartTag w:uri="urn:schemas-microsoft-com:office:smarttags" w:element="PersonName">
        <w:r>
          <w:t>Cary Willard</w:t>
        </w:r>
      </w:smartTag>
      <w:r>
        <w:tab/>
      </w:r>
      <w:r>
        <w:tab/>
      </w:r>
      <w:r>
        <w:tab/>
      </w:r>
      <w:r>
        <w:tab/>
      </w:r>
      <w:r>
        <w:tab/>
        <w:t xml:space="preserve"> </w:t>
      </w:r>
    </w:p>
    <w:p w:rsidR="00855369" w:rsidRDefault="00855369">
      <w:r>
        <w:t xml:space="preserve">Quiz 6 (20 points) </w:t>
      </w:r>
      <w:r>
        <w:tab/>
      </w:r>
      <w:r>
        <w:tab/>
      </w:r>
      <w:r>
        <w:tab/>
      </w:r>
      <w:r>
        <w:tab/>
      </w:r>
      <w:r>
        <w:tab/>
      </w:r>
      <w:r w:rsidR="00F63CBA">
        <w:t>March 2</w:t>
      </w:r>
      <w:r w:rsidR="002B178A">
        <w:t>7</w:t>
      </w:r>
      <w:r w:rsidR="00F63CBA">
        <w:t>, 2008</w:t>
      </w:r>
    </w:p>
    <w:p w:rsidR="00855369" w:rsidRDefault="00855369"/>
    <w:p w:rsidR="00855369" w:rsidRDefault="00855369">
      <w:r>
        <w:t>All work must be shown to receive credit.</w:t>
      </w:r>
    </w:p>
    <w:p w:rsidR="00855369" w:rsidRDefault="00855369"/>
    <w:p w:rsidR="00855369" w:rsidRDefault="00855369"/>
    <w:p w:rsidR="00855369" w:rsidRDefault="00B54D63">
      <w:pPr>
        <w:numPr>
          <w:ilvl w:val="0"/>
          <w:numId w:val="4"/>
        </w:numPr>
      </w:pPr>
      <w:r>
        <w:t xml:space="preserve"> </w:t>
      </w:r>
      <w:r w:rsidR="00855369">
        <w:t>(</w:t>
      </w:r>
      <w:r>
        <w:t>8</w:t>
      </w:r>
      <w:r w:rsidR="00855369">
        <w:t xml:space="preserve"> points) Propane is often used as a home fuel in areas where natural gas is not available.  When 3.00 g of propane, C</w:t>
      </w:r>
      <w:r w:rsidR="00855369">
        <w:rPr>
          <w:vertAlign w:val="subscript"/>
        </w:rPr>
        <w:t>3</w:t>
      </w:r>
      <w:r w:rsidR="00855369">
        <w:t>H</w:t>
      </w:r>
      <w:r w:rsidR="00855369">
        <w:rPr>
          <w:vertAlign w:val="subscript"/>
        </w:rPr>
        <w:t>8</w:t>
      </w:r>
      <w:r w:rsidR="00855369">
        <w:t xml:space="preserve">, is burned in a calorimeter whose heat capacity is </w:t>
      </w:r>
      <w:proofErr w:type="gramStart"/>
      <w:r w:rsidR="00855369">
        <w:t>32.7 kJ/K, the temperature of the calorimeter increases by 4.25</w:t>
      </w:r>
      <w:r w:rsidR="00855369">
        <w:rPr>
          <w:vertAlign w:val="superscript"/>
        </w:rPr>
        <w:t>o</w:t>
      </w:r>
      <w:r w:rsidR="00855369">
        <w:t>C</w:t>
      </w:r>
      <w:proofErr w:type="gramEnd"/>
      <w:r w:rsidR="00855369">
        <w:t xml:space="preserve">.  Calculate the heat of combustion in kJ/g and kJ/mol of propane. </w:t>
      </w:r>
    </w:p>
    <w:p w:rsidR="00F63CBA" w:rsidRDefault="00F63CBA" w:rsidP="00F63CBA"/>
    <w:p w:rsidR="00F63CBA" w:rsidRDefault="00F63CBA" w:rsidP="00F63CBA"/>
    <w:p w:rsidR="00F63CBA" w:rsidRDefault="00F63CBA" w:rsidP="00F63CBA"/>
    <w:p w:rsidR="00F63CBA" w:rsidRDefault="00F63CBA" w:rsidP="00F63CBA"/>
    <w:p w:rsidR="00F63CBA" w:rsidRDefault="00F63CBA" w:rsidP="00F63CBA"/>
    <w:p w:rsidR="007B38D1" w:rsidRDefault="007B38D1" w:rsidP="00F63CBA"/>
    <w:p w:rsidR="007B38D1" w:rsidRDefault="007B38D1" w:rsidP="00F63CBA"/>
    <w:p w:rsidR="007B38D1" w:rsidRDefault="007B38D1" w:rsidP="00F63CBA"/>
    <w:p w:rsidR="007B38D1" w:rsidRDefault="007B38D1" w:rsidP="00F63CBA"/>
    <w:p w:rsidR="007B38D1" w:rsidRDefault="007B38D1" w:rsidP="00F63CBA"/>
    <w:p w:rsidR="007B38D1" w:rsidRDefault="007B38D1" w:rsidP="00F63CBA"/>
    <w:p w:rsidR="00F63CBA" w:rsidRDefault="00F63CBA" w:rsidP="00F63CBA"/>
    <w:p w:rsidR="00F63CBA" w:rsidRDefault="00F63CBA" w:rsidP="00F63CBA"/>
    <w:p w:rsidR="00F63CBA" w:rsidRDefault="00DE2EA7" w:rsidP="00F63CBA">
      <w:r>
        <w:rPr>
          <w:noProof/>
          <w:lang w:eastAsia="zh-TW"/>
        </w:rPr>
        <w:pict>
          <v:shapetype id="_x0000_t202" coordsize="21600,21600" o:spt="202" path="m,l,21600r21600,l21600,xe">
            <v:stroke joinstyle="miter"/>
            <v:path gradientshapeok="t" o:connecttype="rect"/>
          </v:shapetype>
          <v:shape id="_x0000_s1026" type="#_x0000_t202" style="position:absolute;margin-left:321.15pt;margin-top:11.25pt;width:169.15pt;height:126.8pt;z-index:-251658752;mso-width-relative:margin;mso-height-relative:margin" wrapcoords="-96 0 -96 21472 21600 21472 21600 0 -96 0" o:allowincell="f" stroked="f">
            <v:textbox>
              <w:txbxContent>
                <w:tbl>
                  <w:tblPr>
                    <w:tblW w:w="5520" w:type="dxa"/>
                    <w:tblCellMar>
                      <w:left w:w="0" w:type="dxa"/>
                      <w:right w:w="0" w:type="dxa"/>
                    </w:tblCellMar>
                    <w:tblLook w:val="04A0"/>
                  </w:tblPr>
                  <w:tblGrid>
                    <w:gridCol w:w="1674"/>
                    <w:gridCol w:w="3846"/>
                  </w:tblGrid>
                  <w:tr w:rsidR="002B178A" w:rsidRPr="00F63CBA" w:rsidTr="00F63CBA">
                    <w:trPr>
                      <w:trHeight w:val="291"/>
                    </w:trPr>
                    <w:tc>
                      <w:tcPr>
                        <w:tcW w:w="1674"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2B178A" w:rsidRPr="00F63CBA" w:rsidRDefault="002B178A" w:rsidP="00F63CBA"/>
                    </w:tc>
                    <w:tc>
                      <w:tcPr>
                        <w:tcW w:w="384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2B178A" w:rsidRPr="00F63CBA" w:rsidRDefault="002B178A" w:rsidP="00F63CBA">
                        <w:proofErr w:type="spellStart"/>
                        <w:r w:rsidRPr="00F63CBA">
                          <w:t>Δ</w:t>
                        </w:r>
                        <w:r w:rsidRPr="00F63CBA">
                          <w:rPr>
                            <w:i/>
                            <w:iCs/>
                          </w:rPr>
                          <w:t>H</w:t>
                        </w:r>
                        <w:r w:rsidRPr="00F63CBA">
                          <w:t>º</w:t>
                        </w:r>
                        <w:r w:rsidRPr="00F63CBA">
                          <w:rPr>
                            <w:i/>
                            <w:iCs/>
                            <w:vertAlign w:val="subscript"/>
                          </w:rPr>
                          <w:t>f</w:t>
                        </w:r>
                        <w:proofErr w:type="spellEnd"/>
                        <w:r w:rsidRPr="00F63CBA">
                          <w:rPr>
                            <w:vertAlign w:val="subscript"/>
                          </w:rPr>
                          <w:t xml:space="preserve">  </w:t>
                        </w:r>
                        <w:r w:rsidRPr="00F63CBA">
                          <w:t xml:space="preserve">(kJ/ mol) </w:t>
                        </w:r>
                      </w:p>
                    </w:tc>
                  </w:tr>
                  <w:tr w:rsidR="002B178A" w:rsidRPr="00F63CBA" w:rsidTr="00F63CBA">
                    <w:trPr>
                      <w:trHeight w:val="265"/>
                    </w:trPr>
                    <w:tc>
                      <w:tcPr>
                        <w:tcW w:w="1674"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7B38D1">
                        <w:r w:rsidRPr="00F63CBA">
                          <w:t>C</w:t>
                        </w:r>
                        <w:r>
                          <w:rPr>
                            <w:vertAlign w:val="subscript"/>
                          </w:rPr>
                          <w:t>51</w:t>
                        </w:r>
                        <w:r w:rsidRPr="00F63CBA">
                          <w:t>H</w:t>
                        </w:r>
                        <w:r>
                          <w:rPr>
                            <w:vertAlign w:val="subscript"/>
                          </w:rPr>
                          <w:t>88</w:t>
                        </w:r>
                        <w:r w:rsidRPr="00F63CBA">
                          <w:t>O</w:t>
                        </w:r>
                        <w:r w:rsidRPr="007B38D1">
                          <w:rPr>
                            <w:vertAlign w:val="subscript"/>
                          </w:rPr>
                          <w:t>6</w:t>
                        </w:r>
                        <w:r w:rsidRPr="00F63CBA">
                          <w:t xml:space="preserve"> (</w:t>
                        </w:r>
                        <w:r w:rsidRPr="00F63CBA">
                          <w:rPr>
                            <w:i/>
                            <w:iCs/>
                          </w:rPr>
                          <w:t>l</w:t>
                        </w:r>
                        <w:r w:rsidRPr="00F63CBA">
                          <w:t xml:space="preserve">) </w:t>
                        </w:r>
                      </w:p>
                    </w:tc>
                    <w:tc>
                      <w:tcPr>
                        <w:tcW w:w="3846" w:type="dxa"/>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7B38D1">
                        <w:r w:rsidRPr="00F63CBA">
                          <w:t>–</w:t>
                        </w:r>
                        <w:r>
                          <w:t>1310</w:t>
                        </w:r>
                        <w:r w:rsidRPr="00F63CBA">
                          <w:t xml:space="preserve"> </w:t>
                        </w:r>
                      </w:p>
                    </w:tc>
                  </w:tr>
                  <w:tr w:rsidR="002B178A" w:rsidRPr="00F63CBA" w:rsidTr="00F63CBA">
                    <w:trPr>
                      <w:trHeight w:val="303"/>
                    </w:trPr>
                    <w:tc>
                      <w:tcPr>
                        <w:tcW w:w="1674" w:type="dxa"/>
                        <w:tcBorders>
                          <w:top w:val="nil"/>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CO</w:t>
                        </w:r>
                        <w:r w:rsidRPr="00F63CBA">
                          <w:rPr>
                            <w:vertAlign w:val="subscript"/>
                          </w:rPr>
                          <w:t>2</w:t>
                        </w:r>
                        <w:r w:rsidRPr="00F63CBA">
                          <w:t xml:space="preserve"> (</w:t>
                        </w:r>
                        <w:r w:rsidRPr="00F63CBA">
                          <w:rPr>
                            <w:i/>
                            <w:iCs/>
                          </w:rPr>
                          <w:t>g</w:t>
                        </w:r>
                        <w:r w:rsidRPr="00F63CBA">
                          <w:t xml:space="preserve">) </w:t>
                        </w:r>
                      </w:p>
                    </w:tc>
                    <w:tc>
                      <w:tcPr>
                        <w:tcW w:w="3846" w:type="dxa"/>
                        <w:tcBorders>
                          <w:top w:val="nil"/>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 xml:space="preserve">–393.5 </w:t>
                        </w:r>
                      </w:p>
                    </w:tc>
                  </w:tr>
                  <w:tr w:rsidR="002B178A" w:rsidRPr="00F63CBA" w:rsidTr="00F63CBA">
                    <w:trPr>
                      <w:trHeight w:val="303"/>
                    </w:trPr>
                    <w:tc>
                      <w:tcPr>
                        <w:tcW w:w="1674" w:type="dxa"/>
                        <w:tcBorders>
                          <w:top w:val="nil"/>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H</w:t>
                        </w:r>
                        <w:r w:rsidRPr="00F63CBA">
                          <w:rPr>
                            <w:vertAlign w:val="subscript"/>
                          </w:rPr>
                          <w:t>2</w:t>
                        </w:r>
                        <w:r w:rsidRPr="00F63CBA">
                          <w:t>O (</w:t>
                        </w:r>
                        <w:r w:rsidRPr="00F63CBA">
                          <w:rPr>
                            <w:i/>
                            <w:iCs/>
                          </w:rPr>
                          <w:t>g</w:t>
                        </w:r>
                        <w:r w:rsidRPr="00F63CBA">
                          <w:t xml:space="preserve">) </w:t>
                        </w:r>
                      </w:p>
                    </w:tc>
                    <w:tc>
                      <w:tcPr>
                        <w:tcW w:w="3846" w:type="dxa"/>
                        <w:tcBorders>
                          <w:top w:val="nil"/>
                          <w:left w:val="nil"/>
                          <w:bottom w:val="nil"/>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 xml:space="preserve">–241.8 </w:t>
                        </w:r>
                      </w:p>
                    </w:tc>
                  </w:tr>
                  <w:tr w:rsidR="002B178A" w:rsidRPr="00F63CBA" w:rsidTr="00F63CBA">
                    <w:trPr>
                      <w:trHeight w:val="213"/>
                    </w:trPr>
                    <w:tc>
                      <w:tcPr>
                        <w:tcW w:w="1674"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H</w:t>
                        </w:r>
                        <w:r w:rsidRPr="00F63CBA">
                          <w:rPr>
                            <w:vertAlign w:val="subscript"/>
                          </w:rPr>
                          <w:t>2</w:t>
                        </w:r>
                        <w:r w:rsidRPr="00F63CBA">
                          <w:t>O (</w:t>
                        </w:r>
                        <w:r w:rsidRPr="00F63CBA">
                          <w:rPr>
                            <w:i/>
                            <w:iCs/>
                          </w:rPr>
                          <w:t>l</w:t>
                        </w:r>
                        <w:r w:rsidRPr="00F63CBA">
                          <w:t xml:space="preserve">) </w:t>
                        </w:r>
                      </w:p>
                    </w:tc>
                    <w:tc>
                      <w:tcPr>
                        <w:tcW w:w="3846"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rsidR="002B178A" w:rsidRPr="00F63CBA" w:rsidRDefault="002B178A" w:rsidP="00F63CBA">
                        <w:r w:rsidRPr="00F63CBA">
                          <w:t xml:space="preserve">–285.8 </w:t>
                        </w:r>
                      </w:p>
                    </w:tc>
                  </w:tr>
                </w:tbl>
                <w:p w:rsidR="002B178A" w:rsidRDefault="002B178A" w:rsidP="00F63CBA"/>
              </w:txbxContent>
            </v:textbox>
            <w10:wrap type="tight"/>
          </v:shape>
        </w:pict>
      </w:r>
    </w:p>
    <w:p w:rsidR="00F63CBA" w:rsidRDefault="00F63CBA" w:rsidP="00F63CBA"/>
    <w:p w:rsidR="00B54D63" w:rsidRDefault="007B38D1">
      <w:pPr>
        <w:numPr>
          <w:ilvl w:val="0"/>
          <w:numId w:val="4"/>
        </w:numPr>
      </w:pPr>
      <w:r>
        <w:t>(8 points) One possible use for the cooking fat left over after making French fries is to burn it as fuel.  Write a balanced equation (what do you think the state of the water will be?), and use the following data to calculate the amount on energy released in kJ from the combustion of 1.00 g of cooking fat (C</w:t>
      </w:r>
      <w:r w:rsidRPr="007B38D1">
        <w:rPr>
          <w:vertAlign w:val="subscript"/>
        </w:rPr>
        <w:t>51</w:t>
      </w:r>
      <w:r>
        <w:t>H</w:t>
      </w:r>
      <w:r w:rsidRPr="007B38D1">
        <w:rPr>
          <w:vertAlign w:val="subscript"/>
        </w:rPr>
        <w:t>88</w:t>
      </w:r>
      <w:r>
        <w:t>O</w:t>
      </w:r>
      <w:r w:rsidRPr="007B38D1">
        <w:rPr>
          <w:vertAlign w:val="subscript"/>
        </w:rPr>
        <w:t>6</w:t>
      </w:r>
      <w:r>
        <w:t>).</w:t>
      </w:r>
    </w:p>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rsidP="007B38D1"/>
    <w:p w:rsidR="007B38D1" w:rsidRDefault="007B38D1">
      <w:pPr>
        <w:numPr>
          <w:ilvl w:val="0"/>
          <w:numId w:val="4"/>
        </w:numPr>
      </w:pPr>
      <w:r>
        <w:t>(4 points) The heat of formation of cooking fat is shown above.  Write out the equation for this reaction.</w:t>
      </w:r>
    </w:p>
    <w:sectPr w:rsidR="007B38D1" w:rsidSect="00DE2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21840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B4879"/>
    <w:multiLevelType w:val="multilevel"/>
    <w:tmpl w:val="4A340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6AE12AE"/>
    <w:multiLevelType w:val="hybridMultilevel"/>
    <w:tmpl w:val="94006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4E7536"/>
    <w:multiLevelType w:val="hybridMultilevel"/>
    <w:tmpl w:val="4A3404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203D5A"/>
    <w:multiLevelType w:val="hybridMultilevel"/>
    <w:tmpl w:val="181AE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65806"/>
    <w:rsid w:val="002B178A"/>
    <w:rsid w:val="007B38D1"/>
    <w:rsid w:val="00855369"/>
    <w:rsid w:val="00865806"/>
    <w:rsid w:val="0092057B"/>
    <w:rsid w:val="00A75364"/>
    <w:rsid w:val="00B54D63"/>
    <w:rsid w:val="00DE2EA7"/>
    <w:rsid w:val="00F6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A7"/>
    <w:rPr>
      <w:sz w:val="24"/>
      <w:szCs w:val="24"/>
    </w:rPr>
  </w:style>
  <w:style w:type="paragraph" w:styleId="Heading1">
    <w:name w:val="heading 1"/>
    <w:basedOn w:val="Normal"/>
    <w:next w:val="Normal"/>
    <w:qFormat/>
    <w:rsid w:val="00DE2EA7"/>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148267">
      <w:bodyDiv w:val="1"/>
      <w:marLeft w:val="0"/>
      <w:marRight w:val="0"/>
      <w:marTop w:val="0"/>
      <w:marBottom w:val="0"/>
      <w:divBdr>
        <w:top w:val="none" w:sz="0" w:space="0" w:color="auto"/>
        <w:left w:val="none" w:sz="0" w:space="0" w:color="auto"/>
        <w:bottom w:val="none" w:sz="0" w:space="0" w:color="auto"/>
        <w:right w:val="none" w:sz="0" w:space="0" w:color="auto"/>
      </w:divBdr>
    </w:div>
    <w:div w:id="19986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Chemistry 120</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120</dc:title>
  <dc:subject/>
  <dc:creator>Dzung T. Nguyen, Ph.D.</dc:creator>
  <cp:keywords/>
  <dc:description/>
  <cp:lastModifiedBy>cary.willard</cp:lastModifiedBy>
  <cp:revision>3</cp:revision>
  <cp:lastPrinted>2008-03-27T15:57:00Z</cp:lastPrinted>
  <dcterms:created xsi:type="dcterms:W3CDTF">2008-03-26T19:47:00Z</dcterms:created>
  <dcterms:modified xsi:type="dcterms:W3CDTF">2008-03-27T20:56:00Z</dcterms:modified>
</cp:coreProperties>
</file>